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000" w:type="dxa"/>
        <w:jc w:val="center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466"/>
      </w:tblGrid>
      <w:tr w:rsidR="00000000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jc w:val="center"/>
              <w:tblCellSpacing w:w="7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4408"/>
            </w:tblGrid>
            <w:tr w:rsidR="00000000">
              <w:trPr>
                <w:tblCellSpacing w:w="7" w:type="dxa"/>
                <w:jc w:val="center"/>
              </w:trPr>
              <w:tc>
                <w:tcPr>
                  <w:tcW w:w="0" w:type="auto"/>
                  <w:hideMark/>
                </w:tcPr>
                <w:p w:rsidR="00000000" w:rsidRDefault="00BC6FF2">
                  <w:pPr>
                    <w:jc w:val="center"/>
                    <w:rPr>
                      <w:rFonts w:ascii="Verdana" w:eastAsia="Times New Roman" w:hAnsi="Verdana"/>
                      <w:color w:val="00008B"/>
                      <w:sz w:val="20"/>
                      <w:szCs w:val="20"/>
                    </w:rPr>
                  </w:pPr>
                  <w:r>
                    <w:rPr>
                      <w:rFonts w:ascii="Verdana" w:eastAsia="Times New Roman" w:hAnsi="Verdana"/>
                      <w:b/>
                      <w:bCs/>
                      <w:color w:val="00008B"/>
                      <w:sz w:val="20"/>
                      <w:szCs w:val="20"/>
                    </w:rPr>
                    <w:t>CONSULTA COMPONENTES PROYECTO GCP/RLA/182/SPA</w:t>
                  </w:r>
                  <w:r>
                    <w:rPr>
                      <w:rFonts w:ascii="Verdana" w:eastAsia="Times New Roman" w:hAnsi="Verdana"/>
                      <w:color w:val="00008B"/>
                      <w:sz w:val="20"/>
                      <w:szCs w:val="20"/>
                    </w:rPr>
                    <w:t xml:space="preserve"> </w:t>
                  </w:r>
                </w:p>
                <w:tbl>
                  <w:tblPr>
                    <w:tblW w:w="5000" w:type="pct"/>
                    <w:jc w:val="center"/>
                    <w:tblCellSpacing w:w="7" w:type="dxa"/>
                    <w:tblBorders>
                      <w:top w:val="outset" w:sz="6" w:space="0" w:color="CCCCCC"/>
                      <w:left w:val="outset" w:sz="6" w:space="0" w:color="CCCCCC"/>
                      <w:bottom w:val="outset" w:sz="6" w:space="0" w:color="CCCCCC"/>
                      <w:right w:val="outset" w:sz="6" w:space="0" w:color="CCCCCC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021"/>
                    <w:gridCol w:w="11283"/>
                  </w:tblGrid>
                  <w:tr w:rsidR="00000000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bottom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sz w:val="20"/>
                            <w:szCs w:val="20"/>
                          </w:rPr>
                          <w:t>I. ANTECEDENTES DEL PROYECTO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30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Símbolo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GCP/RLA/182/SPA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Nombre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Reforzamiento de las Políticas de Semillas de Granos Básicos en apoyo a la Agricultura Campesina 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Tipo de Proyecto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NACIONAL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Período de Ejecución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Marzo/2010 - Diciembre/2013</w:t>
                        </w:r>
                      </w:p>
                    </w:tc>
                  </w:tr>
                </w:tbl>
                <w:p w:rsidR="00000000" w:rsidRDefault="00BC6FF2">
                  <w:pPr>
                    <w:jc w:val="center"/>
                    <w:rPr>
                      <w:rFonts w:ascii="Verdana" w:eastAsia="Times New Roman" w:hAnsi="Verdana"/>
                      <w:color w:val="00008B"/>
                      <w:sz w:val="20"/>
                      <w:szCs w:val="20"/>
                    </w:rPr>
                  </w:pPr>
                  <w:r>
                    <w:rPr>
                      <w:rFonts w:ascii="Verdana" w:eastAsia="Times New Roman" w:hAnsi="Verdana"/>
                      <w:color w:val="00008B"/>
                      <w:sz w:val="20"/>
                      <w:szCs w:val="20"/>
                    </w:rPr>
                    <w:br/>
                  </w:r>
                </w:p>
                <w:tbl>
                  <w:tblPr>
                    <w:tblW w:w="4900" w:type="pct"/>
                    <w:jc w:val="center"/>
                    <w:tblCellSpacing w:w="7" w:type="dxa"/>
                    <w:tblBorders>
                      <w:top w:val="outset" w:sz="6" w:space="0" w:color="CCCCCC"/>
                      <w:left w:val="outset" w:sz="6" w:space="0" w:color="CCCCCC"/>
                      <w:bottom w:val="outset" w:sz="6" w:space="0" w:color="CCCCCC"/>
                      <w:right w:val="outset" w:sz="6" w:space="0" w:color="CCCCCC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03"/>
                    <w:gridCol w:w="1208"/>
                    <w:gridCol w:w="1480"/>
                    <w:gridCol w:w="767"/>
                    <w:gridCol w:w="1260"/>
                    <w:gridCol w:w="721"/>
                    <w:gridCol w:w="528"/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288"/>
                    <w:gridCol w:w="479"/>
                    <w:gridCol w:w="479"/>
                    <w:gridCol w:w="479"/>
                    <w:gridCol w:w="585"/>
                    <w:gridCol w:w="283"/>
                    <w:gridCol w:w="283"/>
                    <w:gridCol w:w="283"/>
                    <w:gridCol w:w="283"/>
                    <w:gridCol w:w="1245"/>
                    <w:gridCol w:w="1269"/>
                  </w:tblGrid>
                  <w:tr w:rsidR="00000000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5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bottom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sz w:val="20"/>
                            <w:szCs w:val="20"/>
                          </w:rPr>
                          <w:t>II. MARCO LÓGICO DEL COMPONENTE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5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COMPONENTE NACIONAL BELICE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Efecto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Indicador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Formula de Cálculo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Tipo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Denom.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Línea Base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2010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2011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2012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2013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Medios de Verificación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Supuestos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Contribuir al fortalecimiento del sistema nacional que asegure disponibilidad y acceso sostenible a semilla de buena calidad de granos basicos a los pequeños/as productores/as para la SAN en el marco de agricultura familiar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Programa Nacional de apoyo a la producción y utilización sostenible de semillas de granos básicos de buena </w:t>
                        </w:r>
                        <w:proofErr w:type="gramStart"/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calidad ,</w:t>
                        </w:r>
                        <w:proofErr w:type="gramEnd"/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 para la SAN a nivel nacional, establecida en el país. 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CUMPLIMIENTO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1-Al finalizar el 2012 se cuenta con el documento elaborado del Programa Nacional de Semillas 2.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2-Informe anual del programa nacional elaborado en plataforma informática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3-Al finalizar el 2012 se cuenta con un presupuesto aprobado para continuar con el pr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ograma nacional de producción de semilla de granos basicos de buena calidad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Existencia de estabilidad política, social y económica en el país y a nivel sectorial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Tasa de variación porcentual anual del rendimiento promedio por ha de granos básicos, por parte de los/as pequeños/as productores/as apoyados en las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áreas de intervención, producidos con semillas de granos básicos de buena calidad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TASA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Estudio de Línea Base del Componente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Informes elaborados por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MAF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1. Políticas del Gobierno estimulan el uso de semillas de buena calidad de granos básicos por parte de productores/as, de la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agricultura familiar.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% de las áreas productoras de granos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básicos sembradas con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semillas de buena calidad producidas por las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empresas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1 - Informes del MAF y/o censos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agropecuarios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2 - Registros de venta de semillas de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las empresas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Toneladas de semillas de buena calidad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producidas por las empresas por cada cultivo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1 - Registros de producción de semilla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de las empresas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Resultado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Indicador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Formula de Cálculo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Tipo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Denom.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Línea Base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2010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2011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2012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2013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Medios de Verificación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Supuestos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Pequeños productores con acceso oportuno y suficiente en las épocas de siembra a semilla DE BUENA CALIDAD de granos bá sicos, y apta a las diferentes zonas de producción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Porcentaje de pequeños/as productores/as de granos básicos en las áreas de intervención que utilizan las semillas de granos básicos de buena calidad producidas por los grupos y/o pequeñas empresas semilleristas.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Informes de monitoreo del proyecto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 xml:space="preserve">3. Informes de MAF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1- Precios de mercado de semillas de granos básicos de buena calidad están al alcance de los pequeños productores.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2-Costo de insumos agrícolas para la producción de granos básicos en las áreas de intervención, se mantiene relativamente estable.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Tasa de variación porcentual anual de la producción de semilla de granos básicos de buena calidad en las áreas de intervención, por parte de los/as pequeños/as productores/as.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TASA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Informes de monitoreo del proyecto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Informes de producción de semillas del departamento de extensión de MAF.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Políticas del gobierno a través del sistema de extensión, estimulan el uso de semillas de buena calidad por parte de los grupos y pequeñas e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mpresas de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productores.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Porcentaje de productores dentro de los grupos que participan en el mercado de semillas de granos básicos de buena calidd en las áreas de intervención.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1- Informes de monitoreo del proyecto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2- Informes del departamento de extensión de MAF.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1-Precios de mercado de semillas de granos básicos de buena calidad se mantiene relativamente estables.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 xml:space="preserve">2-Costos de insumos agrícolas para la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producción de granos básicos en las áreas de intervención se mantienen relativamente estables.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Servicio de extensión de MAF fortalecido y enfoque de género incorporado para el acceso, dispnibilidad y utilización de semillas de granos de buena calidad.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CUMPLIMIENTO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Informes de monitoreo del proyecto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Informes de utilización de semillas del Departamento de extensión de MAF.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3. Informe de avance de CARDI.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Políticas del Gobierno estimulan el uso de semillas de buena calidad de granos básicos por parte de los p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roductores/as, de la agricultura familiar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.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Productos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Indicador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Formula de Cálculo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Tipo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Denom.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Línea Base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2010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2011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2012</w:t>
                        </w:r>
                      </w:p>
                    </w:tc>
                    <w:tc>
                      <w:tcPr>
                        <w:tcW w:w="0" w:type="auto"/>
                        <w:gridSpan w:val="4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Metas 2013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Medios de Verificación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Supuestos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T4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1.1.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Pequeñas organizaciones y/o Empresas de Semillas , con visibilización y participación de las mujeres, organizadas , articuladas al mercado local, y produciendo semillas de calidad de forma estable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Número de pequeñas empresas organizadas, vendiendo semilla de buena calidad de granos básicos.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Informes de las regionales de DICTA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 xml:space="preserve">2. Registro de ventas de las PES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3. Registros de los grupos de interes y empresas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Políticas del Gobierno estimulan el uso de semillas de granos básicos de buena calidad por parte de los pequeños/as agricultores/as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Porcentaje de mujeres participando en cargos directivos en las pequeñas empresas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Informes de las regionales de MAF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 xml:space="preserve">2. Registro de Juntas directivas de las organizaciones.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1. Mujeres interesadas en formar parte en las Juntas Directivas de las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Organizaciones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No de kg de semilla de granos básicos de buena calidad comercializada por las pequeñas empresas.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Informes de las regionales de MAF.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Registro de ventas de las organizaciones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Demanda de semilla de GB de buena calidad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Número de empresas con procesos de capitalización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1. Registros contables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Libros de actas de las empresas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3. Informes de seguimiento de los técnicos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Las empresas capitalizan todos los apoyos económicos brindados por el proyecto en fondos rotatorios.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# de empresas formadas por el proyecto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Registros del proyecto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# total de empresas apoyadas por el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proyecto (incluye las no formadas por el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proyecto)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Registros del proyecto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% de empresas medianamente o muy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consolidadas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Instrumento del proyecto para la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medición del desarrollo empresarial de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las empresas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% de empresas plenamente consolidadas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Instrumento del proyecto para la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medición del desarrollo empresarial de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las empresas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1.2.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Semilla básica y registrada, distribuida en base a la demanda de las Pequeñas empresas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No de kg de semillas registradas de GB producidas por MAF-CARDI.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Informes de MAF-CARDI.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 xml:space="preserve">2. Registros de los grupos de interés y empresas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Políticas del Gobierno estimulan el uso de semillas de granos básicos de buena calidad por parte de los pequeños/as agricultores/as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No de kg de semilla básica de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GB producida por CARDI.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1. Informes del Programa de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Semilla de CARDI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informes de Certificacion de MAF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 xml:space="preserve">1. Clima favorable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2. Política de producción de semilla de GB elaborada y establecida.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lastRenderedPageBreak/>
                          <w:t>1.3.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Programa de innovación y transferencia tecnológica participativa para la producción de semillas, implementado en el campo y articulado al programa de extensión de MAF y Central Farm.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Número de empresas que trabajan con el enfoque de innovación participativa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Informe del programa de semillas MAF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2.Informe del Proyecto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Clima favorable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2.Politica de producción de semillas de granos básicos establecida y sostenible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Numero de variedades criollas de granos básicos mejoradas adaptadas a las conciliaciones climáticas locales 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Informes del programa de semillas de CARDI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Informes de CARDI.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Hay registros de variedades liberadas y recuperadas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1.4.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Técnicos/as y productores/as conocen y adoptan las nuevas tecnologías y variedades en la producción de semillas de buena calidad en granos básicos.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Número de tecnicos capacitados en las nuevas tecnologias de produccion de semilla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 de buena calidad 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Informes de capacitacion elaborados por entidad ejecutora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Tecnicos/as interesados/as en las nuevas tecnologias 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Número de productores/as capacitados en las nuevas tecnologias de produccion de semillas de granos basicos de buena calidad 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Informe de capacitacion elaborados por entidad ejecutora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Productores/as interesados/as en las nuevas tecnologias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1.5.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Instituciones nacionales y políticas de estado para producción y uso de semillas certificadas de granos básicos, fortalecidas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No de grupos y/o pequeñas empresas, mejoran su capacidad instalada para la produccion y acondicionamiento de semilla de GB de buena calidad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1. Informes </w:t>
                        </w:r>
                        <w:proofErr w:type="gramStart"/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del proyectos</w:t>
                        </w:r>
                        <w:proofErr w:type="gramEnd"/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.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2. Facturas de compra de equipo y materiales.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proofErr w:type="gramStart"/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3.Acuerdos</w:t>
                        </w:r>
                        <w:proofErr w:type="gramEnd"/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 y actas de entrega de los equipos.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Los equipos entregados a las organizaciones son de buena calidad, de facil manejo por los productores y una politica de capitalizcion establecida.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Area con infraestructura productiva establecida para la produccion y acondicionamiento de semilla de GB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de Buena calidad.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NUMERICO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1.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Informes del Programa de Semilla de MAF.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proofErr w:type="gramStart"/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2. .</w:t>
                        </w:r>
                        <w:proofErr w:type="gramEnd"/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 Facturas de compra de equipo y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 xml:space="preserve">materiales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 xml:space="preserve">1. Clima favorable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 xml:space="preserve">2. Politica de produccion de semilla de GB sostenible. 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% de avance en el fortalecimiento de las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instituciones públicas que forman parte del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sistema nacional de semillas y son apoyadas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por el proyecto respecto a lo planteado al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inicio del mismo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1- Instrumento de evaluación del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fortalecimiento de las instituciones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públicas del proyecto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1.6.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Marco jurídico nacional propuesto en apoyo de la producción y comercio de semillas de calidad y armonización con la normativa regional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Análisis legal de las organizaciones para la producción y comercialización de semillas a nivel nacional, elaborado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CUMPLIMIENTO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Documento de análisis legal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Acceso oportuno a la documentación legal de las organizaciones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Marco legal nacional de producción y comercialización de semillas, armonizado a nivel regional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CUMPLIMIENTO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N/A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Informe con propuesta de armonización del marco legal nacional con el nivel regional, elaborado en segundo trimestre (T2</w:t>
                        </w:r>
                        <w:proofErr w:type="gramStart"/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)del</w:t>
                        </w:r>
                        <w:proofErr w:type="gramEnd"/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 2012.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Informes con resultados de armonización del marco legal nacional con el nivel regional, elaborado a T4 201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1. Voluntad de las instancias estatales para armonizar el marco legal nacional a nivel regional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1.7.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Gestión, monitoreo y evaluación del Componente Nacional Belice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Porcentaje de ejecucion presupuestaria trimestral acumulada respecto del presupuesto anual del Componente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1. Reportes de aistentes financieros y FPMIS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1. Los mecanismos y procedimientos administrativos son expeditos.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2. Disponibilidad oportuna de los recursos</w:t>
                        </w:r>
                      </w:p>
                    </w:tc>
                  </w:tr>
                  <w:tr w:rsidR="00000000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Porcentaje de cumplimiento trimestral del POA</w:t>
                        </w:r>
                      </w:p>
                    </w:tc>
                    <w:tc>
                      <w:tcPr>
                        <w:tcW w:w="2400" w:type="dxa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PORCENTUAL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Año: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br/>
                          <w:t>2010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80%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80%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80%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shd w:val="clear" w:color="auto" w:fill="D4D4D4"/>
                        <w:vAlign w:val="center"/>
                        <w:hideMark/>
                      </w:tcPr>
                      <w:p w:rsidR="00000000" w:rsidRDefault="00BC6FF2">
                        <w:pPr>
                          <w:jc w:val="right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b/>
                            <w:bCs/>
                            <w:color w:val="000000"/>
                            <w:sz w:val="15"/>
                            <w:szCs w:val="15"/>
                          </w:rPr>
                          <w:t>80%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jc w:val="center"/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t xml:space="preserve">1. Informes de monitoreo mensual ampliado, elaborados en Plataforma Informática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MyE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CCCCC"/>
                          <w:left w:val="outset" w:sz="6" w:space="0" w:color="CCCCCC"/>
                          <w:bottom w:val="outset" w:sz="6" w:space="0" w:color="000000"/>
                          <w:right w:val="outset" w:sz="6" w:space="0" w:color="000000"/>
                        </w:tcBorders>
                        <w:vAlign w:val="center"/>
                        <w:hideMark/>
                      </w:tcPr>
                      <w:p w:rsidR="00000000" w:rsidRDefault="00BC6FF2">
                        <w:pP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 xml:space="preserve">1. Ejecutores y contrapartes nacionales cumplen con los compromisos adquiridos en </w:t>
                        </w:r>
                        <w:r>
                          <w:rPr>
                            <w:rFonts w:ascii="Verdana" w:eastAsia="Times New Roman" w:hAnsi="Verdana"/>
                            <w:color w:val="000000"/>
                            <w:sz w:val="15"/>
                            <w:szCs w:val="15"/>
                          </w:rPr>
                          <w:lastRenderedPageBreak/>
                          <w:t>el POA</w:t>
                        </w:r>
                      </w:p>
                    </w:tc>
                  </w:tr>
                </w:tbl>
                <w:p w:rsidR="00000000" w:rsidRDefault="00BC6FF2">
                  <w:pPr>
                    <w:spacing w:after="240"/>
                    <w:jc w:val="center"/>
                    <w:rPr>
                      <w:rFonts w:eastAsia="Times New Roman"/>
                    </w:rPr>
                  </w:pPr>
                </w:p>
              </w:tc>
            </w:tr>
          </w:tbl>
          <w:p w:rsidR="00000000" w:rsidRDefault="00BC6FF2">
            <w:pPr>
              <w:rPr>
                <w:rFonts w:eastAsia="Times New Roman"/>
              </w:rPr>
            </w:pPr>
          </w:p>
        </w:tc>
      </w:tr>
    </w:tbl>
    <w:p w:rsidR="00000000" w:rsidRDefault="00BC6FF2">
      <w:pPr>
        <w:rPr>
          <w:rFonts w:eastAsia="Times New Roman"/>
        </w:rPr>
      </w:pPr>
    </w:p>
    <w:sectPr w:rsidR="00000000" w:rsidSect="00BC6FF2"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grammar="clean"/>
  <w:defaultTabStop w:val="708"/>
  <w:hyphenationZone w:val="425"/>
  <w:drawingGridHorizontalSpacing w:val="120"/>
  <w:displayHorizontalDrawingGridEvery w:val="2"/>
  <w:noPunctuationKerning/>
  <w:characterSpacingControl w:val="doNotCompress"/>
  <w:compat/>
  <w:rsids>
    <w:rsidRoot w:val="00BC6FF2"/>
    <w:rsid w:val="00BC6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Ttulo1">
    <w:name w:val="heading 1"/>
    <w:basedOn w:val="Normal"/>
    <w:link w:val="Ttulo1C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Pr>
      <w:rFonts w:ascii="Verdana" w:hAnsi="Verdana" w:hint="default"/>
      <w:b w:val="0"/>
      <w:bCs w:val="0"/>
      <w:strike w:val="0"/>
      <w:dstrike w:val="0"/>
      <w:color w:val="000000"/>
      <w:sz w:val="14"/>
      <w:szCs w:val="14"/>
      <w:u w:val="none"/>
      <w:effect w:val="none"/>
    </w:rPr>
  </w:style>
  <w:style w:type="character" w:styleId="Hipervnculovisitado">
    <w:name w:val="FollowedHyperlink"/>
    <w:basedOn w:val="Fuentedeprrafopredeter"/>
    <w:uiPriority w:val="99"/>
    <w:semiHidden/>
    <w:unhideWhenUsed/>
    <w:rPr>
      <w:rFonts w:ascii="Verdana" w:hAnsi="Verdana" w:hint="default"/>
      <w:b w:val="0"/>
      <w:bCs w:val="0"/>
      <w:strike w:val="0"/>
      <w:dstrike w:val="0"/>
      <w:color w:val="000000"/>
      <w:sz w:val="14"/>
      <w:szCs w:val="14"/>
      <w:u w:val="none"/>
      <w:effect w:val="none"/>
    </w:rPr>
  </w:style>
  <w:style w:type="character" w:customStyle="1" w:styleId="Ttulo1Car">
    <w:name w:val="Título 1 Car"/>
    <w:basedOn w:val="Fuentedeprrafopredeter"/>
    <w:link w:val="Ttulo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dtitulovertical">
    <w:name w:val="tdtitulovertical"/>
    <w:basedOn w:val="Normal"/>
    <w:pPr>
      <w:shd w:val="clear" w:color="auto" w:fill="CCCCCC"/>
      <w:spacing w:before="100" w:beforeAutospacing="1" w:after="100" w:afterAutospacing="1"/>
      <w:jc w:val="center"/>
    </w:pPr>
    <w:rPr>
      <w:rFonts w:ascii="Verdana" w:hAnsi="Verdana"/>
      <w:b/>
      <w:bCs/>
      <w:color w:val="000000"/>
      <w:sz w:val="15"/>
      <w:szCs w:val="15"/>
    </w:rPr>
  </w:style>
  <w:style w:type="paragraph" w:customStyle="1" w:styleId="tdcontenido">
    <w:name w:val="tdcontenido"/>
    <w:basedOn w:val="Normal"/>
    <w:pPr>
      <w:spacing w:before="100" w:beforeAutospacing="1" w:after="100" w:afterAutospacing="1"/>
    </w:pPr>
    <w:rPr>
      <w:rFonts w:ascii="Verdana" w:hAnsi="Verdana"/>
      <w:color w:val="000000"/>
      <w:sz w:val="15"/>
      <w:szCs w:val="15"/>
    </w:rPr>
  </w:style>
  <w:style w:type="paragraph" w:customStyle="1" w:styleId="divcontroles">
    <w:name w:val="divcontroles"/>
    <w:basedOn w:val="Normal"/>
    <w:pPr>
      <w:shd w:val="clear" w:color="auto" w:fill="6699FF"/>
      <w:spacing w:before="100" w:beforeAutospacing="1" w:after="100" w:afterAutospacing="1"/>
    </w:pPr>
    <w:rPr>
      <w:rFonts w:ascii="Verdana" w:hAnsi="Verdana"/>
      <w:b/>
      <w:bCs/>
      <w:color w:val="000000"/>
      <w:sz w:val="15"/>
      <w:szCs w:val="15"/>
    </w:rPr>
  </w:style>
  <w:style w:type="paragraph" w:customStyle="1" w:styleId="divcentropagina">
    <w:name w:val="divcentropagina"/>
    <w:basedOn w:val="Normal"/>
    <w:pPr>
      <w:spacing w:before="100" w:beforeAutospacing="1" w:after="100" w:afterAutospacing="1"/>
    </w:pPr>
  </w:style>
  <w:style w:type="paragraph" w:customStyle="1" w:styleId="inputbox">
    <w:name w:val="inputbox"/>
    <w:basedOn w:val="Normal"/>
    <w:pPr>
      <w:spacing w:before="100" w:beforeAutospacing="1" w:after="100" w:afterAutospacing="1"/>
    </w:pPr>
    <w:rPr>
      <w:rFonts w:ascii="Verdana" w:hAnsi="Verdana"/>
      <w:sz w:val="14"/>
      <w:szCs w:val="14"/>
    </w:rPr>
  </w:style>
  <w:style w:type="paragraph" w:customStyle="1" w:styleId="tdcronograma">
    <w:name w:val="tdcronograma"/>
    <w:basedOn w:val="Normal"/>
    <w:pPr>
      <w:shd w:val="clear" w:color="auto" w:fill="000099"/>
      <w:spacing w:before="100" w:beforeAutospacing="1" w:after="100" w:afterAutospacing="1"/>
    </w:pPr>
    <w:rPr>
      <w:rFonts w:ascii="Verdana" w:hAnsi="Verdana"/>
      <w:sz w:val="17"/>
      <w:szCs w:val="17"/>
    </w:rPr>
  </w:style>
  <w:style w:type="paragraph" w:customStyle="1" w:styleId="tdcontenido1">
    <w:name w:val="tdcontenido1"/>
    <w:basedOn w:val="Normal"/>
    <w:pPr>
      <w:shd w:val="clear" w:color="auto" w:fill="D4D4D4"/>
      <w:spacing w:before="100" w:beforeAutospacing="1" w:after="100" w:afterAutospacing="1"/>
    </w:pPr>
    <w:rPr>
      <w:rFonts w:ascii="Verdana" w:hAnsi="Verdana"/>
      <w:color w:val="000000"/>
      <w:sz w:val="15"/>
      <w:szCs w:val="15"/>
    </w:rPr>
  </w:style>
  <w:style w:type="paragraph" w:customStyle="1" w:styleId="tablaborde">
    <w:name w:val="tablaborde"/>
    <w:basedOn w:val="Normal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1815</Words>
  <Characters>10859</Characters>
  <Application>Microsoft Office Word</Application>
  <DocSecurity>4</DocSecurity>
  <Lines>90</Lines>
  <Paragraphs>25</Paragraphs>
  <ScaleCrop>false</ScaleCrop>
  <Company>Gerens</Company>
  <LinksUpToDate>false</LinksUpToDate>
  <CharactersWithSpaces>12649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Plataforma de Monitoreo y Evaluación de Proyectos</dc:title>
  <dc:creator>Antonio Tejeda Altamirano</dc:creator>
  <cp:lastModifiedBy>Antonio Tejeda Altamirano</cp:lastModifiedBy>
  <cp:revision>2</cp:revision>
  <dcterms:created xsi:type="dcterms:W3CDTF">2012-09-03T21:14:00Z</dcterms:created>
  <dcterms:modified xsi:type="dcterms:W3CDTF">2012-09-03T21:14:00Z</dcterms:modified>
</cp:coreProperties>
</file>